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0"/>
        <w:contextualSpacing w:val="0"/>
        <w:jc w:val="center"/>
      </w:pPr>
      <w:r w:rsidDel="00000000" w:rsidR="00000000" w:rsidRPr="00000000">
        <w:rPr>
          <w:b w:val="1"/>
          <w:sz w:val="36"/>
          <w:szCs w:val="36"/>
          <w:rtl w:val="0"/>
        </w:rPr>
        <w:t xml:space="preserve">Petición de monitorización</w:t>
      </w:r>
      <w:r w:rsidDel="00000000" w:rsidR="00000000" w:rsidRPr="00000000">
        <w:rPr>
          <w:rtl w:val="0"/>
        </w:rPr>
      </w:r>
    </w:p>
    <w:p w:rsidR="00000000" w:rsidDel="00000000" w:rsidP="00000000" w:rsidRDefault="00000000" w:rsidRPr="00000000">
      <w:pPr>
        <w:ind w:right="0"/>
        <w:contextualSpacing w:val="0"/>
        <w:jc w:val="center"/>
      </w:pPr>
      <w:r w:rsidDel="00000000" w:rsidR="00000000" w:rsidRPr="00000000">
        <w:rPr>
          <w:rFonts w:ascii="Calibri" w:cs="Calibri" w:eastAsia="Calibri" w:hAnsi="Calibri"/>
          <w:b w:val="1"/>
          <w:sz w:val="36"/>
          <w:szCs w:val="36"/>
          <w:rtl w:val="0"/>
        </w:rPr>
        <w:t xml:space="preserve">OIGAA Box</w:t>
      </w:r>
    </w:p>
    <w:p w:rsidR="00000000" w:rsidDel="00000000" w:rsidP="00000000" w:rsidRDefault="00000000" w:rsidRPr="00000000">
      <w:pPr>
        <w:ind w:right="1425"/>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servicio OIGAA Box dispone de una serie de mecanismos de </w:t>
      </w:r>
      <w:r w:rsidDel="00000000" w:rsidR="00000000" w:rsidRPr="00000000">
        <w:rPr>
          <w:rtl w:val="0"/>
        </w:rPr>
        <w:t xml:space="preserve">monitorización </w:t>
      </w:r>
      <w:r w:rsidDel="00000000" w:rsidR="00000000" w:rsidRPr="00000000">
        <w:rPr>
          <w:rtl w:val="0"/>
        </w:rPr>
        <w:t xml:space="preserve">activa de algunas de las funcionalidades que componen el servicio.  Este documento sirve para identificar aquellas funcionalidades del Servicio que deben ser monitorizadas por parte de VozTelecom, a petición del cliente con el objetivo de ofrecer una mayor seguridad e integridad del Servicio al Cliente.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cliente puede, siempre que lo desee modificar sus preferencias de monitorización, a través del servicio de Atención al Cliente de VozTelecom.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Todas las funcionalidades no incluidas en este documento no quedarán monitorizadas de forma activa por parte de VozTelecom.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Datos del cliente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375"/>
        <w:tblGridChange w:id="0">
          <w:tblGrid>
            <w:gridCol w:w="2655"/>
            <w:gridCol w:w="6375"/>
          </w:tblGrid>
        </w:tblGridChange>
      </w:tblGrid>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0"/>
                <w:szCs w:val="20"/>
                <w:rtl w:val="0"/>
              </w:rPr>
              <w:t xml:space="preserve">Cliente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Nombre de la empresa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Persona de contacto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Teléfonos de contacto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Correo de contacto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0"/>
                <w:szCs w:val="20"/>
                <w:rtl w:val="0"/>
              </w:rPr>
              <w:t xml:space="preserve">Distribuidor/Instalador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Nombre de la empresa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Persona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Teléfonos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Correo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0"/>
                <w:szCs w:val="20"/>
                <w:rtl w:val="0"/>
              </w:rPr>
              <w:t xml:space="preserve">Informática externa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Nombre de la empresa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Persona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Teléfonos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0"/>
                <w:szCs w:val="20"/>
                <w:rtl w:val="0"/>
              </w:rPr>
              <w:t xml:space="preserve">Correo de contacto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keepNext w:val="1"/>
        <w:keepLines w:val="1"/>
        <w:widowControl w:val="1"/>
        <w:spacing w:line="240" w:lineRule="auto"/>
        <w:contextualSpacing w:val="0"/>
        <w:jc w:val="left"/>
      </w:pPr>
      <w:bookmarkStart w:colFirst="0" w:colLast="0" w:name="_wqpczl90n28f"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widowControl w:val="1"/>
        <w:spacing w:line="240" w:lineRule="auto"/>
        <w:contextualSpacing w:val="0"/>
        <w:jc w:val="center"/>
      </w:pPr>
      <w:bookmarkStart w:colFirst="0" w:colLast="0" w:name="_ebmcokisc7ha" w:id="1"/>
      <w:bookmarkEnd w:id="1"/>
      <w:r w:rsidDel="00000000" w:rsidR="00000000" w:rsidRPr="00000000">
        <w:rPr>
          <w:rtl w:val="0"/>
        </w:rPr>
        <w:t xml:space="preserve">Estado de la copia de seguridad en la nube</w:t>
      </w:r>
    </w:p>
    <w:p w:rsidR="00000000" w:rsidDel="00000000" w:rsidP="00000000" w:rsidRDefault="00000000" w:rsidRPr="00000000">
      <w:pPr>
        <w:contextualSpacing w:val="0"/>
        <w:jc w:val="center"/>
      </w:pPr>
      <w:r w:rsidDel="00000000" w:rsidR="00000000" w:rsidRPr="00000000">
        <w:rPr>
          <w:rtl w:val="0"/>
        </w:rPr>
        <w:t xml:space="preserve">Aplica a Equipos BOX y a Usuarios BOX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Visual w:val="0"/>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795"/>
        <w:tblGridChange w:id="0">
          <w:tblGrid>
            <w:gridCol w:w="2265"/>
            <w:gridCol w:w="6795"/>
          </w:tblGrid>
        </w:tblGridChange>
      </w:tblGrid>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Información sobre la monitorización</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Tipo de monitorización</w:t>
            </w:r>
          </w:p>
        </w:tc>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t xml:space="preserve">El equipo de Atención al cliente de VozTelecom revisa diariamente el estado y volumen de la copia de seguridad en la nube de los Equipos BOX y de los usuarios BOX con funcionalidad de copia de seguridad en la nube. Verifica que el estado se corresponde con lo especificado en la petición de monitorización.</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Tiempo de respuesta</w:t>
            </w:r>
          </w:p>
        </w:tc>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t xml:space="preserve">En un tiempo máximo de 1 día laborable desde que la copia programada debería haber empezado, y siempre que no se haya llevado a cabo una nueva copia, o bien que el volumen sea diferencial según lo especificado, el equipo de Atención al cliente de VozTelecom notifica al cliente y al distribuidor de la alarma y empieza con la gestión de la alarma.</w:t>
            </w:r>
          </w:p>
        </w:tc>
      </w:tr>
      <w:tr>
        <w:tc>
          <w:tcPr>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Proceso de resolución</w:t>
            </w:r>
          </w:p>
        </w:tc>
        <w:tc>
          <w:tcPr>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t xml:space="preserve">En primer lugar, el equipo de Atención al cliente de OIGAA Box intentará subsanar el error de forma remota, sin necesidad de intervención de cliente. Si la alarma persiste, se contacta con el cliente para llevar a cabo las verificaciones previas, en caso que el cliente no pueda llevar a cabo estas verificaciones, se requerirá la presencia del instalador del servicio, con cargo a VozTelecom para llevarlas a cabo. Si tras las verificaciones previas se detecta que la copia de seguridad en la nube sigue desactualizada se actuará según lo descrito en la sección 6.8 del documento de SLA</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 rellenar</w:t>
      </w:r>
    </w:p>
    <w:p w:rsidR="00000000" w:rsidDel="00000000" w:rsidP="00000000" w:rsidRDefault="00000000" w:rsidRPr="00000000">
      <w:pPr>
        <w:contextualSpacing w:val="0"/>
      </w:pPr>
      <w:r w:rsidDel="00000000" w:rsidR="00000000" w:rsidRPr="00000000">
        <w:rPr>
          <w:rtl w:val="0"/>
        </w:rPr>
      </w:r>
    </w:p>
    <w:tbl>
      <w:tblPr>
        <w:tblStyle w:val="Table3"/>
        <w:bidiVisual w:val="0"/>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5895"/>
        <w:tblGridChange w:id="0">
          <w:tblGrid>
            <w:gridCol w:w="3135"/>
            <w:gridCol w:w="5895"/>
          </w:tblGrid>
        </w:tblGridChange>
      </w:tblGrid>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Datos del Equipo o Usuario BOX</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 y ubicación de la Sede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 del equipo o usuario BOX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Datos de la copia de seguridad</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Días de la semana en que se hace copia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L       M       X       J       V        S        D    </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Hora/s en que se ejecuta la copia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Monitorización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Notificar cuando la copia no se haya ejecutado según lo programado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rtl w:val="0"/>
              </w:rPr>
              <w:t xml:space="preserve"> Si                            No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Notificar cuando el volumen de la copia de seguridad aumente mas de lo habitual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Si                            No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Notificar cuando el volumen de la copia de seguridad disminuya mas de lo habitual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Si                            No</w:t>
            </w:r>
          </w:p>
        </w:tc>
      </w:tr>
      <w:tr>
        <w:trPr>
          <w:trHeight w:val="420" w:hRule="atLeast"/>
        </w:trPr>
        <w:tc>
          <w:tcPr>
            <w:gridSpan w:val="2"/>
            <w:shd w:fill="d9d2e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Contacto para notificación</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Notificar 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Contacto especificado en datos del cliente                </w:t>
            </w:r>
          </w:p>
          <w:p w:rsidR="00000000" w:rsidDel="00000000" w:rsidP="00000000" w:rsidRDefault="00000000" w:rsidRPr="00000000">
            <w:pPr>
              <w:widowControl w:val="0"/>
              <w:spacing w:line="240" w:lineRule="auto"/>
              <w:contextualSpacing w:val="0"/>
            </w:pPr>
            <w:r w:rsidDel="00000000" w:rsidR="00000000" w:rsidRPr="00000000">
              <w:rPr>
                <w:rtl w:val="0"/>
              </w:rPr>
              <w:t xml:space="preserve">Contacto del usuario BOX</w:t>
            </w:r>
          </w:p>
          <w:p w:rsidR="00000000" w:rsidDel="00000000" w:rsidP="00000000" w:rsidRDefault="00000000" w:rsidRPr="00000000">
            <w:pPr>
              <w:widowControl w:val="0"/>
              <w:spacing w:line="240" w:lineRule="auto"/>
              <w:contextualSpacing w:val="0"/>
            </w:pPr>
            <w:r w:rsidDel="00000000" w:rsidR="00000000" w:rsidRPr="00000000">
              <w:rPr>
                <w:rtl w:val="0"/>
              </w:rPr>
              <w:t xml:space="preserve">Otro</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Nombre y apellidos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Teléfono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Correo electrónico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sectPr>
      <w:headerReference r:id="rId5" w:type="default"/>
      <w:footerReference r:id="rId6" w:type="default"/>
      <w:pgSz w:h="16834" w:w="11909"/>
      <w:pgMar w:bottom="1440" w:top="1440" w:left="1440" w:right="14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ind w:left="-1305" w:right="-990" w:firstLine="0"/>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735" w:firstLine="0"/>
      <w:contextualSpacing w:val="0"/>
      <w:jc w:val="center"/>
    </w:pPr>
    <w:r w:rsidDel="00000000" w:rsidR="00000000" w:rsidRPr="00000000">
      <w:rPr>
        <w:rtl w:val="0"/>
      </w:rPr>
    </w:r>
  </w:p>
  <w:p w:rsidR="00000000" w:rsidDel="00000000" w:rsidP="00000000" w:rsidRDefault="00000000" w:rsidRPr="00000000">
    <w:pPr>
      <w:widowControl w:val="0"/>
      <w:spacing w:line="240" w:lineRule="auto"/>
      <w:ind w:left="-735" w:firstLine="0"/>
      <w:contextualSpacing w:val="0"/>
      <w:jc w:val="center"/>
    </w:pPr>
    <w:r w:rsidDel="00000000" w:rsidR="00000000" w:rsidRPr="00000000">
      <w:rPr>
        <w:rFonts w:ascii="Verdana" w:cs="Verdana" w:eastAsia="Verdana" w:hAnsi="Verdana"/>
        <w:color w:val="666666"/>
        <w:sz w:val="14"/>
        <w:szCs w:val="14"/>
        <w:rtl w:val="0"/>
      </w:rPr>
      <w:t xml:space="preserve">VozTelecom OIGAA360 S.A – C/Artesans, 10 (Parc Tecnològic del Vallès) – 08290 Cerdanyola del Vallès</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color w:val="6b2394"/>
        <w:sz w:val="14"/>
        <w:szCs w:val="14"/>
        <w:rtl w:val="0"/>
      </w:rPr>
      <w:t xml:space="preserve"> www.voztele.com – 902477777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155" w:firstLine="0"/>
      <w:contextualSpacing w:val="0"/>
    </w:pPr>
    <w:r w:rsidDel="00000000" w:rsidR="00000000" w:rsidRPr="00000000">
      <w:drawing>
        <wp:inline distB="114300" distT="114300" distL="114300" distR="114300">
          <wp:extent cx="7399867" cy="633413"/>
          <wp:effectExtent b="0" l="0" r="0" t="0"/>
          <wp:docPr descr="Banner-superior-Box.jpg" id="1" name="image01.jpg"/>
          <a:graphic>
            <a:graphicData uri="http://schemas.openxmlformats.org/drawingml/2006/picture">
              <pic:pic>
                <pic:nvPicPr>
                  <pic:cNvPr descr="Banner-superior-Box.jpg" id="0" name="image01.jpg"/>
                  <pic:cNvPicPr preferRelativeResize="0"/>
                </pic:nvPicPr>
                <pic:blipFill>
                  <a:blip r:embed="rId1"/>
                  <a:srcRect b="0" l="0" r="0" t="0"/>
                  <a:stretch>
                    <a:fillRect/>
                  </a:stretch>
                </pic:blipFill>
                <pic:spPr>
                  <a:xfrm>
                    <a:off x="0" y="0"/>
                    <a:ext cx="7399867"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jc w:val="both"/>
    </w:pPr>
    <w:rPr>
      <w:b w:val="1"/>
      <w:sz w:val="36"/>
      <w:szCs w:val="36"/>
    </w:rPr>
  </w:style>
  <w:style w:type="paragraph" w:styleId="Heading2">
    <w:name w:val="heading 2"/>
    <w:basedOn w:val="Normal"/>
    <w:next w:val="Normal"/>
    <w:pPr>
      <w:widowControl w:val="0"/>
      <w:contextualSpacing w:val="1"/>
      <w:jc w:val="both"/>
    </w:pPr>
    <w:rPr>
      <w:b w:val="1"/>
      <w:sz w:val="28"/>
      <w:szCs w:val="28"/>
    </w:rPr>
  </w:style>
  <w:style w:type="paragraph" w:styleId="Heading3">
    <w:name w:val="heading 3"/>
    <w:basedOn w:val="Normal"/>
    <w:next w:val="Normal"/>
    <w:pPr>
      <w:widowControl w:val="0"/>
      <w:contextualSpacing w:val="1"/>
      <w:jc w:val="both"/>
    </w:pPr>
    <w:rPr>
      <w:b w:val="1"/>
      <w:sz w:val="24"/>
      <w:szCs w:val="24"/>
    </w:rPr>
  </w:style>
  <w:style w:type="paragraph" w:styleId="Heading4">
    <w:name w:val="heading 4"/>
    <w:basedOn w:val="Normal"/>
    <w:next w:val="Normal"/>
    <w:pPr>
      <w:keepNext w:val="1"/>
      <w:keepLines w:val="1"/>
      <w:spacing w:before="160" w:lineRule="auto"/>
      <w:contextualSpacing w:val="1"/>
    </w:pPr>
    <w:rPr>
      <w:u w:val="single"/>
    </w:rPr>
  </w:style>
  <w:style w:type="paragraph" w:styleId="Heading5">
    <w:name w:val="heading 5"/>
    <w:basedOn w:val="Normal"/>
    <w:next w:val="Normal"/>
    <w:pPr>
      <w:keepNext w:val="1"/>
      <w:keepLines w:val="1"/>
      <w:spacing w:before="160" w:lineRule="auto"/>
      <w:contextualSpacing w:val="1"/>
    </w:pPr>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